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D5B2" w14:textId="77777777" w:rsidR="004424DD" w:rsidRDefault="00F20D4A" w:rsidP="0053782F">
      <w:pPr>
        <w:jc w:val="center"/>
      </w:pPr>
      <w:r>
        <w:rPr>
          <w:noProof/>
        </w:rPr>
        <w:drawing>
          <wp:inline distT="0" distB="0" distL="0" distR="0" wp14:anchorId="62FC0FAE" wp14:editId="7AF28297">
            <wp:extent cx="2378075" cy="178560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White_Transparen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 t="30210" r="32336" b="39737"/>
                    <a:stretch/>
                  </pic:blipFill>
                  <pic:spPr bwMode="auto">
                    <a:xfrm>
                      <a:off x="0" y="0"/>
                      <a:ext cx="2378940" cy="178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5E3AE" w14:textId="77777777" w:rsidR="0053782F" w:rsidRPr="0053782F" w:rsidRDefault="0053782F" w:rsidP="0053782F">
      <w:pPr>
        <w:jc w:val="center"/>
        <w:rPr>
          <w:rFonts w:asciiTheme="majorHAnsi" w:hAnsiTheme="majorHAnsi"/>
          <w:b/>
        </w:rPr>
      </w:pPr>
      <w:r w:rsidRPr="0053782F">
        <w:rPr>
          <w:rFonts w:asciiTheme="majorHAnsi" w:hAnsiTheme="majorHAnsi"/>
          <w:b/>
        </w:rPr>
        <w:t>How to Make Your Social Justice Events Accessible to the Disability Community: A Checklist</w:t>
      </w:r>
    </w:p>
    <w:p w14:paraId="1CDC7822" w14:textId="77777777" w:rsidR="0053782F" w:rsidRDefault="0053782F" w:rsidP="0053782F">
      <w:pPr>
        <w:jc w:val="center"/>
        <w:rPr>
          <w:rFonts w:asciiTheme="majorHAnsi" w:hAnsiTheme="majorHAnsi"/>
        </w:rPr>
      </w:pPr>
      <w:proofErr w:type="gramStart"/>
      <w:r w:rsidRPr="0053782F">
        <w:rPr>
          <w:rFonts w:asciiTheme="majorHAnsi" w:hAnsiTheme="majorHAnsi"/>
        </w:rPr>
        <w:t>by</w:t>
      </w:r>
      <w:proofErr w:type="gramEnd"/>
      <w:r w:rsidRPr="0053782F">
        <w:rPr>
          <w:rFonts w:asciiTheme="majorHAnsi" w:hAnsiTheme="majorHAnsi"/>
        </w:rPr>
        <w:t xml:space="preserve"> </w:t>
      </w:r>
      <w:proofErr w:type="spellStart"/>
      <w:r w:rsidRPr="0053782F">
        <w:rPr>
          <w:rFonts w:asciiTheme="majorHAnsi" w:hAnsiTheme="majorHAnsi"/>
        </w:rPr>
        <w:t>s.e.</w:t>
      </w:r>
      <w:proofErr w:type="spellEnd"/>
      <w:r w:rsidRPr="0053782F">
        <w:rPr>
          <w:rFonts w:asciiTheme="majorHAnsi" w:hAnsiTheme="majorHAnsi"/>
        </w:rPr>
        <w:t xml:space="preserve"> </w:t>
      </w:r>
      <w:proofErr w:type="gramStart"/>
      <w:r w:rsidRPr="0053782F">
        <w:rPr>
          <w:rFonts w:asciiTheme="majorHAnsi" w:hAnsiTheme="majorHAnsi"/>
        </w:rPr>
        <w:t>smith</w:t>
      </w:r>
      <w:proofErr w:type="gramEnd"/>
    </w:p>
    <w:p w14:paraId="50F975BC" w14:textId="77777777" w:rsidR="0053782F" w:rsidRDefault="0053782F" w:rsidP="0053782F">
      <w:pPr>
        <w:jc w:val="center"/>
        <w:rPr>
          <w:rFonts w:asciiTheme="majorHAnsi" w:hAnsiTheme="majorHAnsi"/>
        </w:rPr>
      </w:pPr>
    </w:p>
    <w:p w14:paraId="0D268EC8" w14:textId="77777777" w:rsidR="0053782F" w:rsidRDefault="0053782F" w:rsidP="0053782F">
      <w:pPr>
        <w:rPr>
          <w:rFonts w:asciiTheme="majorHAnsi" w:hAnsiTheme="majorHAnsi"/>
          <w:b/>
          <w:bCs/>
          <w:color w:val="365F91" w:themeColor="accent1" w:themeShade="BF"/>
          <w:u w:val="single"/>
        </w:rPr>
      </w:pPr>
      <w:r w:rsidRPr="0053782F">
        <w:rPr>
          <w:rFonts w:asciiTheme="majorHAnsi" w:hAnsiTheme="majorHAnsi"/>
          <w:b/>
          <w:bCs/>
          <w:color w:val="365F91" w:themeColor="accent1" w:themeShade="BF"/>
          <w:u w:val="single"/>
        </w:rPr>
        <w:t>Website Accessibility</w:t>
      </w:r>
    </w:p>
    <w:p w14:paraId="1B404E33" w14:textId="77777777" w:rsidR="0053782F" w:rsidRPr="0053782F" w:rsidRDefault="0053782F" w:rsidP="0053782F">
      <w:pPr>
        <w:rPr>
          <w:rFonts w:asciiTheme="majorHAnsi" w:hAnsiTheme="majorHAnsi"/>
          <w:color w:val="365F91" w:themeColor="accent1" w:themeShade="BF"/>
        </w:rPr>
      </w:pPr>
    </w:p>
    <w:p w14:paraId="0D04AF35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Use high contrast and consider using a tool to allow users to switch from d</w:t>
      </w:r>
      <w:r>
        <w:rPr>
          <w:rFonts w:asciiTheme="majorHAnsi" w:hAnsiTheme="majorHAnsi"/>
        </w:rPr>
        <w:t>ark-on-light to light-on-dark</w:t>
      </w:r>
    </w:p>
    <w:p w14:paraId="07C22BF8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Don’t use flashing animations</w:t>
      </w:r>
    </w:p>
    <w:p w14:paraId="3F1D86E9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Use </w:t>
      </w:r>
      <w:hyperlink r:id="rId7" w:history="1">
        <w:r w:rsidRPr="0053782F">
          <w:rPr>
            <w:rStyle w:val="Hyperlink"/>
            <w:rFonts w:asciiTheme="majorHAnsi" w:hAnsiTheme="majorHAnsi"/>
          </w:rPr>
          <w:t>alt text</w:t>
        </w:r>
      </w:hyperlink>
    </w:p>
    <w:p w14:paraId="6ACD6CDD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Don’t use image</w:t>
      </w:r>
      <w:r>
        <w:rPr>
          <w:rFonts w:asciiTheme="majorHAnsi" w:hAnsiTheme="majorHAnsi"/>
        </w:rPr>
        <w:t>s to present text information</w:t>
      </w:r>
    </w:p>
    <w:p w14:paraId="65D63A6B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Use </w:t>
      </w:r>
      <w:hyperlink r:id="rId8" w:history="1">
        <w:r w:rsidRPr="0053782F">
          <w:rPr>
            <w:rStyle w:val="Hyperlink"/>
            <w:rFonts w:asciiTheme="majorHAnsi" w:hAnsiTheme="majorHAnsi"/>
          </w:rPr>
          <w:t>skip navigation</w:t>
        </w:r>
      </w:hyperlink>
    </w:p>
    <w:p w14:paraId="668BF682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Offer a magnifying tool</w:t>
      </w:r>
    </w:p>
    <w:p w14:paraId="227CB8B0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Caption and/or trans</w:t>
      </w:r>
      <w:r>
        <w:rPr>
          <w:rFonts w:asciiTheme="majorHAnsi" w:hAnsiTheme="majorHAnsi"/>
        </w:rPr>
        <w:t>cribe video and audio content</w:t>
      </w:r>
    </w:p>
    <w:p w14:paraId="25C5FB26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Use descriptive link text (“</w:t>
      </w:r>
      <w:hyperlink r:id="rId9" w:history="1">
        <w:r w:rsidRPr="0053782F">
          <w:rPr>
            <w:rStyle w:val="Hyperlink"/>
            <w:rFonts w:asciiTheme="majorHAnsi" w:hAnsiTheme="majorHAnsi"/>
          </w:rPr>
          <w:t>find pictures of cute animals here</w:t>
        </w:r>
      </w:hyperlink>
      <w:r w:rsidRPr="0053782F">
        <w:rPr>
          <w:rFonts w:asciiTheme="majorHAnsi" w:hAnsiTheme="majorHAnsi"/>
        </w:rPr>
        <w:t>” rather than “</w:t>
      </w:r>
      <w:hyperlink r:id="rId10" w:history="1">
        <w:r w:rsidRPr="0053782F">
          <w:rPr>
            <w:rStyle w:val="Hyperlink"/>
            <w:rFonts w:asciiTheme="majorHAnsi" w:hAnsiTheme="majorHAnsi"/>
          </w:rPr>
          <w:t>here</w:t>
        </w:r>
      </w:hyperlink>
      <w:r w:rsidRPr="0053782F">
        <w:rPr>
          <w:rFonts w:asciiTheme="majorHAnsi" w:hAnsiTheme="majorHAnsi"/>
        </w:rPr>
        <w:t xml:space="preserve">”), as </w:t>
      </w:r>
      <w:proofErr w:type="spellStart"/>
      <w:r w:rsidRPr="0053782F">
        <w:rPr>
          <w:rFonts w:asciiTheme="majorHAnsi" w:hAnsiTheme="majorHAnsi"/>
        </w:rPr>
        <w:t>screenreader</w:t>
      </w:r>
      <w:proofErr w:type="spellEnd"/>
      <w:r w:rsidRPr="0053782F">
        <w:rPr>
          <w:rFonts w:asciiTheme="majorHAnsi" w:hAnsiTheme="majorHAnsi"/>
        </w:rPr>
        <w:t xml:space="preserve"> users may jump through links and</w:t>
      </w:r>
      <w:r>
        <w:rPr>
          <w:rFonts w:asciiTheme="majorHAnsi" w:hAnsiTheme="majorHAnsi"/>
        </w:rPr>
        <w:t xml:space="preserve"> need to know where they lead</w:t>
      </w:r>
    </w:p>
    <w:p w14:paraId="3740B806" w14:textId="77777777" w:rsid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Include a website accessibility statement, like this one from Rooted in Rights' parent organization, </w:t>
      </w:r>
      <w:hyperlink r:id="rId11" w:history="1">
        <w:r w:rsidRPr="0053782F">
          <w:rPr>
            <w:rStyle w:val="Hyperlink"/>
            <w:rFonts w:asciiTheme="majorHAnsi" w:hAnsiTheme="majorHAnsi"/>
          </w:rPr>
          <w:t>Disability Rights Washington</w:t>
        </w:r>
      </w:hyperlink>
    </w:p>
    <w:p w14:paraId="48E08224" w14:textId="77777777" w:rsidR="0053782F" w:rsidRPr="0053782F" w:rsidRDefault="0053782F" w:rsidP="0053782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Include event accessibility information prominently, with a clear access plan and contact information</w:t>
      </w:r>
    </w:p>
    <w:p w14:paraId="67ED6F40" w14:textId="77777777" w:rsidR="0053782F" w:rsidRPr="0053782F" w:rsidRDefault="0053782F" w:rsidP="0053782F">
      <w:pPr>
        <w:rPr>
          <w:rFonts w:asciiTheme="majorHAnsi" w:hAnsiTheme="majorHAnsi"/>
        </w:rPr>
      </w:pPr>
    </w:p>
    <w:p w14:paraId="1AD1D1BB" w14:textId="77777777" w:rsidR="0053782F" w:rsidRPr="0053782F" w:rsidRDefault="0053782F" w:rsidP="0053782F">
      <w:pPr>
        <w:rPr>
          <w:rFonts w:asciiTheme="majorHAnsi" w:hAnsiTheme="majorHAnsi"/>
        </w:rPr>
      </w:pPr>
      <w:r w:rsidRPr="0053782F">
        <w:rPr>
          <w:rFonts w:asciiTheme="majorHAnsi" w:hAnsiTheme="majorHAnsi"/>
          <w:bCs/>
          <w:i/>
          <w:iCs/>
        </w:rPr>
        <w:t xml:space="preserve">Need help? </w:t>
      </w:r>
      <w:proofErr w:type="gramStart"/>
      <w:r w:rsidRPr="0053782F">
        <w:rPr>
          <w:rFonts w:asciiTheme="majorHAnsi" w:hAnsiTheme="majorHAnsi"/>
          <w:bCs/>
          <w:i/>
          <w:iCs/>
        </w:rPr>
        <w:t>Start with </w:t>
      </w:r>
      <w:hyperlink r:id="rId12" w:history="1">
        <w:proofErr w:type="spellStart"/>
        <w:r w:rsidRPr="0053782F">
          <w:rPr>
            <w:rStyle w:val="Hyperlink"/>
            <w:rFonts w:asciiTheme="majorHAnsi" w:hAnsiTheme="majorHAnsi"/>
            <w:bCs/>
            <w:i/>
            <w:iCs/>
          </w:rPr>
          <w:t>WebAIM</w:t>
        </w:r>
        <w:proofErr w:type="spellEnd"/>
      </w:hyperlink>
      <w:r w:rsidRPr="0053782F">
        <w:rPr>
          <w:rFonts w:asciiTheme="majorHAnsi" w:hAnsiTheme="majorHAnsi"/>
          <w:bCs/>
          <w:i/>
          <w:iCs/>
        </w:rPr>
        <w:t> and </w:t>
      </w:r>
      <w:hyperlink r:id="rId13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Section 508</w:t>
        </w:r>
      </w:hyperlink>
      <w:r w:rsidRPr="0053782F">
        <w:rPr>
          <w:rFonts w:asciiTheme="majorHAnsi" w:hAnsiTheme="majorHAnsi"/>
          <w:bCs/>
          <w:i/>
          <w:iCs/>
        </w:rPr>
        <w:t>.</w:t>
      </w:r>
      <w:proofErr w:type="gramEnd"/>
    </w:p>
    <w:p w14:paraId="7E67A07D" w14:textId="77777777" w:rsidR="0053782F" w:rsidRDefault="0053782F" w:rsidP="0053782F">
      <w:pPr>
        <w:rPr>
          <w:rFonts w:asciiTheme="majorHAnsi" w:hAnsiTheme="majorHAnsi"/>
          <w:b/>
          <w:bCs/>
          <w:u w:val="single"/>
        </w:rPr>
      </w:pPr>
    </w:p>
    <w:p w14:paraId="6884C608" w14:textId="77777777" w:rsidR="0053782F" w:rsidRDefault="0053782F" w:rsidP="0053782F">
      <w:pPr>
        <w:rPr>
          <w:rFonts w:asciiTheme="majorHAnsi" w:hAnsiTheme="majorHAnsi"/>
          <w:b/>
          <w:bCs/>
          <w:color w:val="365F91" w:themeColor="accent1" w:themeShade="BF"/>
          <w:u w:val="single"/>
        </w:rPr>
      </w:pPr>
      <w:r w:rsidRPr="0053782F">
        <w:rPr>
          <w:rFonts w:asciiTheme="majorHAnsi" w:hAnsiTheme="majorHAnsi"/>
          <w:b/>
          <w:bCs/>
          <w:color w:val="365F91" w:themeColor="accent1" w:themeShade="BF"/>
          <w:u w:val="single"/>
        </w:rPr>
        <w:t>Creating an Access Plan</w:t>
      </w:r>
    </w:p>
    <w:p w14:paraId="48AE0D07" w14:textId="77777777" w:rsidR="0053782F" w:rsidRPr="0053782F" w:rsidRDefault="0053782F" w:rsidP="0053782F">
      <w:pPr>
        <w:rPr>
          <w:rFonts w:asciiTheme="majorHAnsi" w:hAnsiTheme="majorHAnsi"/>
          <w:color w:val="365F91" w:themeColor="accent1" w:themeShade="BF"/>
        </w:rPr>
      </w:pPr>
    </w:p>
    <w:p w14:paraId="5836A380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Vet your facilities</w:t>
      </w:r>
      <w:r w:rsidRPr="0053782F">
        <w:rPr>
          <w:rFonts w:asciiTheme="majorHAnsi" w:hAnsiTheme="majorHAnsi"/>
        </w:rPr>
        <w:br/>
        <w:t>   - In buildings, look for: Ramps; accessible all gender restrooms; doorways of sufficient width for wheelchairs to enter; ample seating; reconfigurable spaces</w:t>
      </w:r>
      <w:proofErr w:type="gramStart"/>
      <w:r w:rsidRPr="0053782F">
        <w:rPr>
          <w:rFonts w:asciiTheme="majorHAnsi" w:hAnsiTheme="majorHAnsi"/>
        </w:rPr>
        <w:t>;</w:t>
      </w:r>
      <w:proofErr w:type="gramEnd"/>
      <w:r w:rsidRPr="0053782F">
        <w:rPr>
          <w:rFonts w:asciiTheme="majorHAnsi" w:hAnsiTheme="majorHAnsi"/>
        </w:rPr>
        <w:t xml:space="preserve"> bright, even light.</w:t>
      </w:r>
      <w:r w:rsidRPr="0053782F">
        <w:rPr>
          <w:rFonts w:asciiTheme="majorHAnsi" w:hAnsiTheme="majorHAnsi"/>
        </w:rPr>
        <w:br/>
        <w:t xml:space="preserve">   - On </w:t>
      </w:r>
      <w:proofErr w:type="gramStart"/>
      <w:r w:rsidRPr="0053782F">
        <w:rPr>
          <w:rFonts w:asciiTheme="majorHAnsi" w:hAnsiTheme="majorHAnsi"/>
        </w:rPr>
        <w:t>march</w:t>
      </w:r>
      <w:proofErr w:type="gramEnd"/>
      <w:r w:rsidRPr="0053782F">
        <w:rPr>
          <w:rFonts w:asciiTheme="majorHAnsi" w:hAnsiTheme="majorHAnsi"/>
        </w:rPr>
        <w:t xml:space="preserve"> and parade routes, look for: Even, smooth surfaces; sufficient seating for rest breaks; accessible nearby parking; accessible all gender toilets in easy reach; accessible ground transport</w:t>
      </w:r>
      <w:r>
        <w:rPr>
          <w:rFonts w:asciiTheme="majorHAnsi" w:hAnsiTheme="majorHAnsi"/>
        </w:rPr>
        <w:t>; cover in the event of rain.</w:t>
      </w:r>
    </w:p>
    <w:p w14:paraId="432B5D29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Designate seating for disabled people in the front of the room or crowd and near the exits, marking space off so nondisabled attendees underst</w:t>
      </w:r>
      <w:r>
        <w:rPr>
          <w:rFonts w:asciiTheme="majorHAnsi" w:hAnsiTheme="majorHAnsi"/>
        </w:rPr>
        <w:t>and they should not sit there</w:t>
      </w:r>
    </w:p>
    <w:p w14:paraId="24EAE69A" w14:textId="77777777" w:rsidR="00DD5844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Provide sign language interpretation for all events</w:t>
      </w:r>
    </w:p>
    <w:p w14:paraId="71A1CACE" w14:textId="4818180F" w:rsidR="0053782F" w:rsidRDefault="00DD5844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Provide</w:t>
      </w:r>
      <w:r w:rsidR="0053782F" w:rsidRPr="0053782F">
        <w:rPr>
          <w:rFonts w:asciiTheme="majorHAnsi" w:hAnsiTheme="majorHAnsi"/>
        </w:rPr>
        <w:t xml:space="preserve"> Communication Access </w:t>
      </w:r>
      <w:proofErr w:type="spellStart"/>
      <w:r w:rsidR="0053782F" w:rsidRPr="0053782F">
        <w:rPr>
          <w:rFonts w:asciiTheme="majorHAnsi" w:hAnsiTheme="majorHAnsi"/>
        </w:rPr>
        <w:t>Realtime</w:t>
      </w:r>
      <w:proofErr w:type="spellEnd"/>
      <w:r w:rsidR="0053782F" w:rsidRPr="0053782F">
        <w:rPr>
          <w:rFonts w:asciiTheme="majorHAnsi" w:hAnsiTheme="majorHAnsi"/>
        </w:rPr>
        <w:t xml:space="preserve"> Translation (CART)</w:t>
      </w:r>
      <w:r>
        <w:rPr>
          <w:rFonts w:asciiTheme="majorHAnsi" w:hAnsiTheme="majorHAnsi"/>
        </w:rPr>
        <w:t>, as not all people who have hearing loss or who are d/Deaf use sign language to communicate</w:t>
      </w:r>
      <w:r w:rsidR="00AB097B" w:rsidRPr="00AB097B">
        <w:rPr>
          <w:rFonts w:asciiTheme="majorHAnsi" w:hAnsiTheme="majorHAnsi"/>
        </w:rPr>
        <w:t>, and it can provide greater access for people with auditory processing disorders</w:t>
      </w:r>
      <w:bookmarkStart w:id="0" w:name="_GoBack"/>
      <w:bookmarkEnd w:id="0"/>
    </w:p>
    <w:p w14:paraId="66EE23AA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Consider providing loaner wheelchairs or scooters, possibly through a third party ve</w:t>
      </w:r>
      <w:r>
        <w:rPr>
          <w:rFonts w:asciiTheme="majorHAnsi" w:hAnsiTheme="majorHAnsi"/>
        </w:rPr>
        <w:t>ndor who can assume liability</w:t>
      </w:r>
    </w:p>
    <w:p w14:paraId="58DB2113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Consider offering w</w:t>
      </w:r>
      <w:r>
        <w:rPr>
          <w:rFonts w:asciiTheme="majorHAnsi" w:hAnsiTheme="majorHAnsi"/>
        </w:rPr>
        <w:t>heelchair-accessible shuttles</w:t>
      </w:r>
    </w:p>
    <w:p w14:paraId="6990BA74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Designate</w:t>
      </w:r>
      <w:r>
        <w:rPr>
          <w:rFonts w:asciiTheme="majorHAnsi" w:hAnsiTheme="majorHAnsi"/>
        </w:rPr>
        <w:t xml:space="preserve"> a service animal relief area</w:t>
      </w:r>
    </w:p>
    <w:p w14:paraId="704DEB33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Designate an access team who coordinate accessibility issues throughout planning and through to the end of the event, and provide them with readily recognizable markers like shirts, vests, or</w:t>
      </w:r>
      <w:r>
        <w:rPr>
          <w:rFonts w:asciiTheme="majorHAnsi" w:hAnsiTheme="majorHAnsi"/>
        </w:rPr>
        <w:t xml:space="preserve"> hats so they’re easy to find</w:t>
      </w:r>
    </w:p>
    <w:p w14:paraId="7844F56A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Develop a scent policy — going scent-fr</w:t>
      </w:r>
      <w:r>
        <w:rPr>
          <w:rFonts w:asciiTheme="majorHAnsi" w:hAnsiTheme="majorHAnsi"/>
        </w:rPr>
        <w:t>ee will enhance accessibility</w:t>
      </w:r>
    </w:p>
    <w:p w14:paraId="0887E74F" w14:textId="77777777" w:rsidR="0053782F" w:rsidRDefault="0053782F" w:rsidP="0053782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Consider designating a quiet space or room</w:t>
      </w:r>
    </w:p>
    <w:p w14:paraId="174C3B2F" w14:textId="291EE949" w:rsidR="00720825" w:rsidRPr="00720825" w:rsidRDefault="00720825" w:rsidP="0072082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20825">
        <w:rPr>
          <w:rFonts w:asciiTheme="majorHAnsi" w:hAnsiTheme="majorHAnsi"/>
        </w:rPr>
        <w:t>Use a public address (PA) system</w:t>
      </w:r>
    </w:p>
    <w:p w14:paraId="6287375D" w14:textId="21E85F40" w:rsidR="00720825" w:rsidRPr="00720825" w:rsidRDefault="00720825" w:rsidP="0072082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20825">
        <w:rPr>
          <w:rFonts w:asciiTheme="majorHAnsi" w:hAnsiTheme="majorHAnsi"/>
        </w:rPr>
        <w:t>Ensure that anyone who is speaking, including audience members, use microphones</w:t>
      </w:r>
    </w:p>
    <w:p w14:paraId="7E900565" w14:textId="6A73ECCD" w:rsidR="00720825" w:rsidRPr="0053782F" w:rsidRDefault="00720825" w:rsidP="0072082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20825">
        <w:rPr>
          <w:rFonts w:asciiTheme="majorHAnsi" w:hAnsiTheme="majorHAnsi"/>
        </w:rPr>
        <w:t xml:space="preserve">Consider audio assistance, like hearing loops, for people who have hearing loss </w:t>
      </w:r>
      <w:r>
        <w:rPr>
          <w:rFonts w:asciiTheme="majorHAnsi" w:hAnsiTheme="majorHAnsi"/>
        </w:rPr>
        <w:t>and rely on assistive technologies such as hearing aids</w:t>
      </w:r>
    </w:p>
    <w:p w14:paraId="60C188A8" w14:textId="77777777" w:rsidR="0053782F" w:rsidRDefault="0053782F" w:rsidP="0053782F">
      <w:pPr>
        <w:rPr>
          <w:rFonts w:asciiTheme="majorHAnsi" w:hAnsiTheme="majorHAnsi"/>
          <w:b/>
          <w:bCs/>
          <w:i/>
          <w:iCs/>
        </w:rPr>
      </w:pPr>
    </w:p>
    <w:p w14:paraId="7BA46F64" w14:textId="77777777" w:rsidR="0053782F" w:rsidRPr="0053782F" w:rsidRDefault="0053782F" w:rsidP="0053782F">
      <w:pPr>
        <w:rPr>
          <w:rFonts w:asciiTheme="majorHAnsi" w:hAnsiTheme="majorHAnsi"/>
        </w:rPr>
      </w:pPr>
      <w:r w:rsidRPr="0053782F">
        <w:rPr>
          <w:rFonts w:asciiTheme="majorHAnsi" w:hAnsiTheme="majorHAnsi"/>
          <w:bCs/>
          <w:i/>
          <w:iCs/>
        </w:rPr>
        <w:t>Need help? </w:t>
      </w:r>
      <w:hyperlink r:id="rId14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This ADA checklist</w:t>
        </w:r>
      </w:hyperlink>
      <w:r w:rsidRPr="0053782F">
        <w:rPr>
          <w:rFonts w:asciiTheme="majorHAnsi" w:hAnsiTheme="majorHAnsi"/>
          <w:bCs/>
          <w:i/>
          <w:iCs/>
        </w:rPr>
        <w:t> can be a great resource, as can </w:t>
      </w:r>
      <w:hyperlink r:id="rId15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this guide on designing ADA-compliant events</w:t>
        </w:r>
      </w:hyperlink>
      <w:r w:rsidRPr="0053782F">
        <w:rPr>
          <w:rFonts w:asciiTheme="majorHAnsi" w:hAnsiTheme="majorHAnsi"/>
          <w:bCs/>
          <w:i/>
          <w:iCs/>
        </w:rPr>
        <w:t>; the Autistic Self Advocacy Network is a </w:t>
      </w:r>
      <w:hyperlink r:id="rId16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good place to start with more inclusive access policies</w:t>
        </w:r>
      </w:hyperlink>
      <w:r w:rsidRPr="0053782F">
        <w:rPr>
          <w:rFonts w:asciiTheme="majorHAnsi" w:hAnsiTheme="majorHAnsi"/>
          <w:bCs/>
          <w:i/>
          <w:iCs/>
        </w:rPr>
        <w:t>.</w:t>
      </w:r>
    </w:p>
    <w:p w14:paraId="6E5251C7" w14:textId="77777777" w:rsidR="0053782F" w:rsidRDefault="0053782F" w:rsidP="0053782F">
      <w:pPr>
        <w:rPr>
          <w:rFonts w:asciiTheme="majorHAnsi" w:hAnsiTheme="majorHAnsi"/>
        </w:rPr>
      </w:pPr>
    </w:p>
    <w:p w14:paraId="67182245" w14:textId="77777777" w:rsidR="0053782F" w:rsidRPr="0053782F" w:rsidRDefault="0053782F" w:rsidP="0053782F">
      <w:pPr>
        <w:rPr>
          <w:rFonts w:asciiTheme="majorHAnsi" w:hAnsiTheme="majorHAnsi"/>
          <w:b/>
          <w:bCs/>
          <w:color w:val="365F91" w:themeColor="accent1" w:themeShade="BF"/>
          <w:u w:val="single"/>
        </w:rPr>
      </w:pPr>
      <w:r w:rsidRPr="0053782F">
        <w:rPr>
          <w:rFonts w:asciiTheme="majorHAnsi" w:hAnsiTheme="majorHAnsi"/>
          <w:b/>
          <w:bCs/>
          <w:color w:val="365F91" w:themeColor="accent1" w:themeShade="BF"/>
          <w:u w:val="single"/>
        </w:rPr>
        <w:t>Making Your Event Policies Disability-Friendly</w:t>
      </w:r>
    </w:p>
    <w:p w14:paraId="23E7AF53" w14:textId="77777777" w:rsidR="0053782F" w:rsidRPr="0053782F" w:rsidRDefault="0053782F" w:rsidP="0053782F">
      <w:pPr>
        <w:rPr>
          <w:rFonts w:asciiTheme="majorHAnsi" w:hAnsiTheme="majorHAnsi"/>
        </w:rPr>
      </w:pPr>
    </w:p>
    <w:p w14:paraId="0A3DB91B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Include disabled people in your leadership, organization, scheduled speakers and paneli</w:t>
      </w:r>
      <w:r>
        <w:rPr>
          <w:rFonts w:asciiTheme="majorHAnsi" w:hAnsiTheme="majorHAnsi"/>
        </w:rPr>
        <w:t>sts, imagery, and documentation</w:t>
      </w:r>
    </w:p>
    <w:p w14:paraId="7CF2EBE4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 xml:space="preserve">Include disability in your anti-harassment, anti-discrimination, and diversity policies, recognizing disability as </w:t>
      </w:r>
      <w:r>
        <w:rPr>
          <w:rFonts w:asciiTheme="majorHAnsi" w:hAnsiTheme="majorHAnsi"/>
        </w:rPr>
        <w:t>a social and political category</w:t>
      </w:r>
    </w:p>
    <w:p w14:paraId="0E5074AE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 xml:space="preserve">Assume disabled people are in the room, even if they aren’t evident, and that they </w:t>
      </w:r>
      <w:r>
        <w:rPr>
          <w:rFonts w:asciiTheme="majorHAnsi" w:hAnsiTheme="majorHAnsi"/>
        </w:rPr>
        <w:t>are stakeholders in your event</w:t>
      </w:r>
    </w:p>
    <w:p w14:paraId="3F98EB96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Include a disability orientati</w:t>
      </w:r>
      <w:r>
        <w:rPr>
          <w:rFonts w:asciiTheme="majorHAnsi" w:hAnsiTheme="majorHAnsi"/>
        </w:rPr>
        <w:t>on for all volunteers and staff</w:t>
      </w:r>
    </w:p>
    <w:p w14:paraId="6892B20E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Include a space on your registration form for p</w:t>
      </w:r>
      <w:r>
        <w:rPr>
          <w:rFonts w:asciiTheme="majorHAnsi" w:hAnsiTheme="majorHAnsi"/>
        </w:rPr>
        <w:t>eople to express access needs</w:t>
      </w:r>
    </w:p>
    <w:p w14:paraId="5EC5B7BF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Document your accessibility policy a</w:t>
      </w:r>
      <w:r>
        <w:rPr>
          <w:rFonts w:asciiTheme="majorHAnsi" w:hAnsiTheme="majorHAnsi"/>
        </w:rPr>
        <w:t>nd efforts and make them public</w:t>
      </w:r>
    </w:p>
    <w:p w14:paraId="62271378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Have a framework in place for responding to criticism and feedbac</w:t>
      </w:r>
      <w:r>
        <w:rPr>
          <w:rFonts w:asciiTheme="majorHAnsi" w:hAnsiTheme="majorHAnsi"/>
        </w:rPr>
        <w:t>k from the disability community</w:t>
      </w:r>
    </w:p>
    <w:p w14:paraId="1022D0D1" w14:textId="77777777" w:rsid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Be mindful of your language:</w:t>
      </w:r>
      <w:r w:rsidRPr="0053782F">
        <w:rPr>
          <w:rFonts w:asciiTheme="majorHAnsi" w:hAnsiTheme="majorHAnsi"/>
        </w:rPr>
        <w:br/>
        <w:t>   - Avoid words that use disability as an insult, like "crazy" or "hysterical"</w:t>
      </w:r>
      <w:r w:rsidRPr="0053782F">
        <w:rPr>
          <w:rFonts w:asciiTheme="majorHAnsi" w:hAnsiTheme="majorHAnsi"/>
        </w:rPr>
        <w:br/>
        <w:t>   - Avoid phrases such as "wheelc</w:t>
      </w:r>
      <w:r>
        <w:rPr>
          <w:rFonts w:asciiTheme="majorHAnsi" w:hAnsiTheme="majorHAnsi"/>
        </w:rPr>
        <w:t>hair-bound" or "suffers from"</w:t>
      </w:r>
    </w:p>
    <w:p w14:paraId="22B19CD2" w14:textId="77777777" w:rsidR="0053782F" w:rsidRPr="0053782F" w:rsidRDefault="0053782F" w:rsidP="0053782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3782F">
        <w:rPr>
          <w:rFonts w:asciiTheme="majorHAnsi" w:hAnsiTheme="majorHAnsi"/>
        </w:rPr>
        <w:t>Pay disability consultants like you would other professionals who are providing services</w:t>
      </w:r>
    </w:p>
    <w:p w14:paraId="12D9F54A" w14:textId="77777777" w:rsidR="0053782F" w:rsidRDefault="0053782F" w:rsidP="0053782F">
      <w:pPr>
        <w:rPr>
          <w:rFonts w:asciiTheme="majorHAnsi" w:hAnsiTheme="majorHAnsi"/>
          <w:b/>
          <w:bCs/>
          <w:i/>
          <w:iCs/>
        </w:rPr>
      </w:pPr>
    </w:p>
    <w:p w14:paraId="4EA3D8EC" w14:textId="77777777" w:rsidR="00624536" w:rsidRDefault="0053782F" w:rsidP="00624536">
      <w:pPr>
        <w:rPr>
          <w:rFonts w:asciiTheme="majorHAnsi" w:hAnsiTheme="majorHAnsi"/>
        </w:rPr>
      </w:pPr>
      <w:r w:rsidRPr="0053782F">
        <w:rPr>
          <w:rFonts w:asciiTheme="majorHAnsi" w:hAnsiTheme="majorHAnsi"/>
          <w:bCs/>
          <w:i/>
          <w:iCs/>
        </w:rPr>
        <w:t>Need help? Here are some examples of accessibility policies to draw upon: </w:t>
      </w:r>
      <w:hyperlink r:id="rId17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SXSW</w:t>
        </w:r>
      </w:hyperlink>
      <w:r w:rsidRPr="0053782F">
        <w:rPr>
          <w:rFonts w:asciiTheme="majorHAnsi" w:hAnsiTheme="majorHAnsi"/>
          <w:bCs/>
          <w:i/>
          <w:iCs/>
        </w:rPr>
        <w:t>; </w:t>
      </w:r>
      <w:hyperlink r:id="rId18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NOLOSE</w:t>
        </w:r>
      </w:hyperlink>
      <w:r w:rsidRPr="0053782F">
        <w:rPr>
          <w:rFonts w:asciiTheme="majorHAnsi" w:hAnsiTheme="majorHAnsi"/>
          <w:bCs/>
          <w:i/>
          <w:iCs/>
        </w:rPr>
        <w:t>; </w:t>
      </w:r>
      <w:hyperlink r:id="rId19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National Conference of State Legislatures website accessibility policy</w:t>
        </w:r>
      </w:hyperlink>
      <w:r w:rsidRPr="0053782F">
        <w:rPr>
          <w:rFonts w:asciiTheme="majorHAnsi" w:hAnsiTheme="majorHAnsi"/>
          <w:bCs/>
          <w:i/>
          <w:iCs/>
        </w:rPr>
        <w:t>; and </w:t>
      </w:r>
      <w:hyperlink r:id="rId20" w:history="1">
        <w:r w:rsidRPr="0053782F">
          <w:rPr>
            <w:rStyle w:val="Hyperlink"/>
            <w:rFonts w:asciiTheme="majorHAnsi" w:hAnsiTheme="majorHAnsi"/>
            <w:bCs/>
            <w:i/>
            <w:iCs/>
          </w:rPr>
          <w:t>Convergence</w:t>
        </w:r>
      </w:hyperlink>
      <w:r w:rsidRPr="0053782F">
        <w:rPr>
          <w:rFonts w:asciiTheme="majorHAnsi" w:hAnsiTheme="majorHAnsi"/>
          <w:bCs/>
          <w:i/>
          <w:iCs/>
        </w:rPr>
        <w:t>.</w:t>
      </w:r>
    </w:p>
    <w:p w14:paraId="7EC5A2AF" w14:textId="77777777" w:rsidR="00624536" w:rsidRDefault="00624536" w:rsidP="00624536">
      <w:pPr>
        <w:rPr>
          <w:rFonts w:asciiTheme="majorHAnsi" w:hAnsiTheme="majorHAnsi"/>
        </w:rPr>
      </w:pPr>
    </w:p>
    <w:p w14:paraId="2BC295DD" w14:textId="77777777" w:rsidR="0053782F" w:rsidRPr="00624536" w:rsidRDefault="00624536" w:rsidP="00624536">
      <w:pPr>
        <w:rPr>
          <w:rFonts w:asciiTheme="majorHAnsi" w:hAnsiTheme="majorHAnsi"/>
        </w:rPr>
      </w:pPr>
      <w:r>
        <w:rPr>
          <w:rFonts w:asciiTheme="majorHAnsi" w:hAnsiTheme="majorHAnsi"/>
        </w:rPr>
        <w:t>© Rooted in Rights, rootedinrights.org</w:t>
      </w:r>
    </w:p>
    <w:sectPr w:rsidR="0053782F" w:rsidRPr="00624536" w:rsidSect="0013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426F"/>
    <w:multiLevelType w:val="multilevel"/>
    <w:tmpl w:val="6888B216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C74"/>
    <w:multiLevelType w:val="hybridMultilevel"/>
    <w:tmpl w:val="6888B216"/>
    <w:lvl w:ilvl="0" w:tplc="1B2CD8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68B0"/>
    <w:multiLevelType w:val="hybridMultilevel"/>
    <w:tmpl w:val="E1ECD672"/>
    <w:lvl w:ilvl="0" w:tplc="0F08EF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0A48"/>
    <w:multiLevelType w:val="hybridMultilevel"/>
    <w:tmpl w:val="30D6F09E"/>
    <w:lvl w:ilvl="0" w:tplc="0F08EF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60F16"/>
    <w:multiLevelType w:val="hybridMultilevel"/>
    <w:tmpl w:val="F04E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E473F"/>
    <w:multiLevelType w:val="hybridMultilevel"/>
    <w:tmpl w:val="270432D4"/>
    <w:lvl w:ilvl="0" w:tplc="0F08EF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0882"/>
    <w:multiLevelType w:val="hybridMultilevel"/>
    <w:tmpl w:val="0284CA1C"/>
    <w:lvl w:ilvl="0" w:tplc="1B2CD8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B7"/>
    <w:rsid w:val="001370B7"/>
    <w:rsid w:val="0036326B"/>
    <w:rsid w:val="004424DD"/>
    <w:rsid w:val="0053782F"/>
    <w:rsid w:val="00624536"/>
    <w:rsid w:val="00720825"/>
    <w:rsid w:val="00900948"/>
    <w:rsid w:val="00AB097B"/>
    <w:rsid w:val="00BC210C"/>
    <w:rsid w:val="00DD5844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B3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B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B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uteoverload.com/" TargetMode="External"/><Relationship Id="rId20" Type="http://schemas.openxmlformats.org/officeDocument/2006/relationships/hyperlink" Target="http://www.convergence-con.org/at-the-con/services/accessibility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cuteoverload.com/" TargetMode="External"/><Relationship Id="rId11" Type="http://schemas.openxmlformats.org/officeDocument/2006/relationships/hyperlink" Target="http://www.disabilityrightswa.org/accessibility" TargetMode="External"/><Relationship Id="rId12" Type="http://schemas.openxmlformats.org/officeDocument/2006/relationships/hyperlink" Target="http://webaim.org/" TargetMode="External"/><Relationship Id="rId13" Type="http://schemas.openxmlformats.org/officeDocument/2006/relationships/hyperlink" Target="https://www.section508.gov/" TargetMode="External"/><Relationship Id="rId14" Type="http://schemas.openxmlformats.org/officeDocument/2006/relationships/hyperlink" Target="https://www.ada.gov/hsurvey.htm" TargetMode="External"/><Relationship Id="rId15" Type="http://schemas.openxmlformats.org/officeDocument/2006/relationships/hyperlink" Target="https://adata.org/publication/temporary-events-guide" TargetMode="External"/><Relationship Id="rId16" Type="http://schemas.openxmlformats.org/officeDocument/2006/relationships/hyperlink" Target="http://autisticadvocacy.org/home/resource-library/accessibility-resources/" TargetMode="External"/><Relationship Id="rId17" Type="http://schemas.openxmlformats.org/officeDocument/2006/relationships/hyperlink" Target="http://www.sxsw.com/attend/accessibility/" TargetMode="External"/><Relationship Id="rId18" Type="http://schemas.openxmlformats.org/officeDocument/2006/relationships/hyperlink" Target="http://nolose.org/conference/2015conf/2015-conference-accessibility/" TargetMode="External"/><Relationship Id="rId19" Type="http://schemas.openxmlformats.org/officeDocument/2006/relationships/hyperlink" Target="http://www.ncsl.org/aboutus/ncslservice/ncsl-accessibility-policy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ebaim.org/techniques/alttext/" TargetMode="External"/><Relationship Id="rId8" Type="http://schemas.openxmlformats.org/officeDocument/2006/relationships/hyperlink" Target="http://webaim.org/techniques/skipn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Macintosh Word</Application>
  <DocSecurity>0</DocSecurity>
  <Lines>34</Lines>
  <Paragraphs>9</Paragraphs>
  <ScaleCrop>false</ScaleCrop>
  <Company>Social Justice Media Services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Ladau</dc:creator>
  <cp:keywords/>
  <dc:description/>
  <cp:lastModifiedBy>Emily Ladau</cp:lastModifiedBy>
  <cp:revision>3</cp:revision>
  <cp:lastPrinted>2017-02-05T19:03:00Z</cp:lastPrinted>
  <dcterms:created xsi:type="dcterms:W3CDTF">2017-02-05T19:03:00Z</dcterms:created>
  <dcterms:modified xsi:type="dcterms:W3CDTF">2017-02-05T19:08:00Z</dcterms:modified>
</cp:coreProperties>
</file>